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0B" w:rsidRDefault="008738ED" w:rsidP="00D6780B">
      <w:pPr>
        <w:rPr>
          <w:sz w:val="24"/>
          <w:szCs w:val="24"/>
        </w:rPr>
      </w:pPr>
      <w:r w:rsidRPr="008738ED">
        <w:rPr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630.4pt" o:ole="">
            <v:imagedata r:id="rId8" o:title=""/>
          </v:shape>
          <o:OLEObject Type="Embed" ProgID="AcroExch.Document.DC" ShapeID="_x0000_i1025" DrawAspect="Content" ObjectID="_1570886675" r:id="rId9"/>
        </w:object>
      </w:r>
    </w:p>
    <w:p w:rsidR="00D6780B" w:rsidRDefault="00D6780B" w:rsidP="00D6780B">
      <w:pPr>
        <w:rPr>
          <w:sz w:val="24"/>
          <w:szCs w:val="24"/>
        </w:rPr>
        <w:sectPr w:rsidR="00D6780B" w:rsidSect="008738ED">
          <w:footerReference w:type="default" r:id="rId10"/>
          <w:pgSz w:w="16838" w:h="11906" w:orient="landscape"/>
          <w:pgMar w:top="284" w:right="902" w:bottom="849" w:left="1134" w:header="709" w:footer="709" w:gutter="0"/>
          <w:cols w:space="708"/>
          <w:docGrid w:linePitch="360"/>
        </w:sectPr>
      </w:pPr>
    </w:p>
    <w:p w:rsidR="00457B63" w:rsidRDefault="00457B63" w:rsidP="00D6780B"/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1.Пояснительная записка.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8B0709" w:rsidRPr="000B0C61" w:rsidRDefault="008B0709" w:rsidP="008B0709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8B0709" w:rsidRDefault="008B0709" w:rsidP="008B0709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8B0709" w:rsidRPr="000B0C61" w:rsidRDefault="008B0709" w:rsidP="008B0709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Примерные программы по учебным предметам. Физическая культура 5 – 9 классы. Стандарты второго поколения. М., Просвещение, 2012г.</w:t>
      </w:r>
    </w:p>
    <w:p w:rsidR="008B0709" w:rsidRPr="000B0C61" w:rsidRDefault="008B0709" w:rsidP="008B070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- Учебного плана школы на 2017-2018</w:t>
      </w:r>
      <w:r w:rsidRPr="000B0C61">
        <w:rPr>
          <w:rFonts w:ascii="Times New Roman" w:hAnsi="Times New Roman"/>
        </w:rPr>
        <w:t xml:space="preserve"> учебный год;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психических процессов и обучение основам психической саморегуляции.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Приказа Минобрнауки от 29.12. 2014 г. №1644.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Зданевича  в--( 5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8B0709" w:rsidRPr="000B0C61" w:rsidRDefault="008B0709" w:rsidP="008B07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</w:t>
      </w:r>
      <w:r w:rsidR="00CC6D59">
        <w:rPr>
          <w:rFonts w:ascii="Times New Roman" w:eastAsia="Times New Roman" w:hAnsi="Times New Roman" w:cs="Times New Roman"/>
          <w:lang w:eastAsia="ru-RU"/>
        </w:rPr>
        <w:t xml:space="preserve"> ф</w:t>
      </w:r>
      <w:r w:rsidR="000A26E4">
        <w:rPr>
          <w:rFonts w:ascii="Times New Roman" w:eastAsia="Times New Roman" w:hAnsi="Times New Roman" w:cs="Times New Roman"/>
          <w:lang w:eastAsia="ru-RU"/>
        </w:rPr>
        <w:t>илиал</w:t>
      </w:r>
      <w:r w:rsidR="00CC6D59">
        <w:rPr>
          <w:rFonts w:ascii="Times New Roman" w:eastAsia="Times New Roman" w:hAnsi="Times New Roman" w:cs="Times New Roman"/>
          <w:lang w:eastAsia="ru-RU"/>
        </w:rPr>
        <w:t>а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МАОУ </w:t>
      </w:r>
      <w:r w:rsidR="000A26E4">
        <w:rPr>
          <w:rFonts w:ascii="Times New Roman" w:eastAsia="Times New Roman" w:hAnsi="Times New Roman" w:cs="Times New Roman"/>
          <w:lang w:eastAsia="ru-RU"/>
        </w:rPr>
        <w:t>Черемшанская СОШ – Прокуткинская СОШ</w:t>
      </w:r>
      <w:r>
        <w:rPr>
          <w:rFonts w:ascii="Times New Roman" w:eastAsia="Times New Roman" w:hAnsi="Times New Roman" w:cs="Times New Roman"/>
          <w:lang w:eastAsia="ru-RU"/>
        </w:rPr>
        <w:t xml:space="preserve"> на 2017-2018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</w:t>
      </w:r>
      <w:r w:rsidR="00CC6D59">
        <w:rPr>
          <w:rFonts w:ascii="Times New Roman" w:eastAsia="Times New Roman" w:hAnsi="Times New Roman" w:cs="Times New Roman"/>
          <w:lang w:eastAsia="ru-RU"/>
        </w:rPr>
        <w:t>, 2 часа в неделю, всего 68 час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4.Личностные,  метапредметные и предметные  результаты освоения учебного предмета;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метапредметных и предметных результатов по физической культуре.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гимнастических и акробатических упражнениях: освоение строевых упражнений;  выполнять комбинацию мальчики – висы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 результаты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Владение культурой речи, ведение диалога в доброжелательной и открытой форме.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457B63" w:rsidRDefault="00457B63" w:rsidP="00696BE1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занятиях физической культурой. Организация досуга средствами физической культуры.</w:t>
      </w:r>
    </w:p>
    <w:p w:rsidR="00457B63" w:rsidRDefault="00457B63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общеразвивающей направленностью.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 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Упражнения общеразвивающей направленности.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выносливости..</w:t>
      </w:r>
    </w:p>
    <w:p w:rsidR="00457B63" w:rsidRDefault="00457B63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B63" w:rsidRDefault="00457B63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457B63" w:rsidRDefault="00457B63" w:rsidP="00696BE1">
      <w:pPr>
        <w:jc w:val="center"/>
        <w:rPr>
          <w:b/>
          <w:bCs/>
          <w:sz w:val="36"/>
          <w:szCs w:val="36"/>
        </w:rPr>
      </w:pPr>
    </w:p>
    <w:p w:rsidR="00D6780B" w:rsidRDefault="00D6780B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457B63" w:rsidRPr="0075379F">
        <w:tc>
          <w:tcPr>
            <w:tcW w:w="1008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п/п</w:t>
            </w:r>
          </w:p>
        </w:tc>
        <w:tc>
          <w:tcPr>
            <w:tcW w:w="7740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457B63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18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16</w:t>
            </w:r>
            <w:r w:rsidRPr="0075379F">
              <w:tab/>
            </w:r>
          </w:p>
        </w:tc>
      </w:tr>
    </w:tbl>
    <w:p w:rsidR="00457B63" w:rsidRDefault="000A26E4" w:rsidP="00696BE1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457B63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  <w:r>
        <w:t>1. Комплексная программа физического воспитания учащихся 1-11 классов. Авторы В.И. Лях, А.А. Зданевич.  М: Просвещение, 2012.</w:t>
      </w:r>
    </w:p>
    <w:p w:rsidR="00457B63" w:rsidRDefault="00457B63" w:rsidP="00696BE1">
      <w:r>
        <w:t>2. Физическая культура: Учебник для учащихся  5 – 7 классов, автор  М.Я.Виленский,  Москва: Просвещение, 2002.</w:t>
      </w:r>
    </w:p>
    <w:p w:rsidR="00457B63" w:rsidRDefault="00457B63" w:rsidP="00696BE1">
      <w:r>
        <w:t>3. Физическое воспитание учащихся 5 – 7 классов. Пособие для учителя. Под ред. В.И.Ляха, Г.Б.Мейксона.  М.: Просвещение, 2002.</w:t>
      </w:r>
    </w:p>
    <w:p w:rsidR="00457B63" w:rsidRDefault="00457B63" w:rsidP="00696BE1">
      <w:r>
        <w:t>Дополнительная литература:</w:t>
      </w:r>
    </w:p>
    <w:p w:rsidR="00457B63" w:rsidRDefault="00457B63" w:rsidP="00696BE1">
      <w:r>
        <w:t>1.Твой олимпийский учебник, В.С.Родиченко, Москва, 1999г.</w:t>
      </w:r>
    </w:p>
    <w:p w:rsidR="00457B63" w:rsidRDefault="00457B63" w:rsidP="00696BE1">
      <w:r>
        <w:t>2.Легкая атлетика в школе, Ж.К.Холодов, Москва, 1999г.</w:t>
      </w:r>
    </w:p>
    <w:p w:rsidR="00457B63" w:rsidRDefault="00457B63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5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перетягивания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830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Барьеры л/а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8.Планируемые результаты изучения учебного предмета. 7 класс.</w:t>
      </w:r>
    </w:p>
    <w:p w:rsidR="00457B63" w:rsidRDefault="00457B63" w:rsidP="00696BE1">
      <w:pPr>
        <w:rPr>
          <w:sz w:val="24"/>
          <w:szCs w:val="24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622"/>
        <w:gridCol w:w="1799"/>
        <w:gridCol w:w="1803"/>
        <w:gridCol w:w="1800"/>
        <w:gridCol w:w="1801"/>
        <w:gridCol w:w="1800"/>
      </w:tblGrid>
      <w:tr w:rsidR="00457B63" w:rsidRPr="0075379F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457B63" w:rsidRPr="0075379F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57B63" w:rsidRPr="0075379F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4.56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7.26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Прыжок в длину с разбега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Челночный бег 3/10 метров(сек)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8.1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Прыжки в длину с места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Наклон вперёд из положения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/>
    <w:p w:rsidR="00457B63" w:rsidRDefault="00457B63" w:rsidP="00696BE1"/>
    <w:p w:rsidR="00457B63" w:rsidRDefault="00457B63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6A3A9A" w:rsidRDefault="006A3A9A" w:rsidP="00696BE1"/>
    <w:p w:rsidR="006A3A9A" w:rsidRDefault="006A3A9A" w:rsidP="00696BE1"/>
    <w:p w:rsidR="006A3A9A" w:rsidRDefault="006A3A9A" w:rsidP="00696BE1"/>
    <w:p w:rsidR="006A3A9A" w:rsidRDefault="006A3A9A" w:rsidP="00696BE1"/>
    <w:p w:rsidR="006A3A9A" w:rsidRDefault="006A3A9A" w:rsidP="00696BE1"/>
    <w:p w:rsidR="00457B63" w:rsidRDefault="00457B63" w:rsidP="00696BE1"/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7 классов.</w:t>
      </w:r>
    </w:p>
    <w:tbl>
      <w:tblPr>
        <w:tblW w:w="154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7"/>
        <w:gridCol w:w="31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 w:rsidRPr="00981372" w:rsidTr="00981372">
        <w:tc>
          <w:tcPr>
            <w:tcW w:w="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BM1dceb9c74e60cab079b45e0948d8b8154b1100"/>
            <w:bookmarkEnd w:id="0"/>
            <w:r w:rsidRPr="00981372">
              <w:rPr>
                <w:rStyle w:val="c31"/>
                <w:b/>
                <w:bCs/>
              </w:rPr>
              <w:t>№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Решаемые задачи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Планируемые результаты</w:t>
            </w:r>
          </w:p>
        </w:tc>
      </w:tr>
      <w:tr w:rsidR="00457B63" w:rsidRPr="00981372" w:rsidTr="00981372">
        <w:tc>
          <w:tcPr>
            <w:tcW w:w="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Предметные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Личностные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Универсальные учебные действия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регулятивные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познавательные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коммуникативные</w:t>
            </w:r>
          </w:p>
        </w:tc>
      </w:tr>
      <w:tr w:rsidR="00457B63" w:rsidRPr="00981372" w:rsidTr="00981372">
        <w:trPr>
          <w:trHeight w:val="3012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1372" w:rsidRPr="00EB18D4" w:rsidRDefault="00F1589E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Основы знаний:</w:t>
            </w:r>
          </w:p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c65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457B63" w:rsidRPr="00981372" w:rsidRDefault="00457B63" w:rsidP="000A26E4">
            <w:pPr>
              <w:pStyle w:val="c4c57"/>
              <w:spacing w:before="0" w:beforeAutospacing="0" w:after="0" w:afterAutospacing="0" w:line="240" w:lineRule="atLeast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Инструктаж по охране труда.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Знать правила т.б.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Внутренняя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EB18D4">
        <w:trPr>
          <w:trHeight w:val="434"/>
        </w:trPr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Легкая атлетика (</w:t>
            </w:r>
            <w:r w:rsidR="00FE6A12" w:rsidRPr="00981372">
              <w:rPr>
                <w:rStyle w:val="c31"/>
                <w:b/>
                <w:bCs/>
              </w:rPr>
              <w:t>7</w:t>
            </w:r>
            <w:r w:rsidRPr="00981372">
              <w:rPr>
                <w:rStyle w:val="c31"/>
                <w:b/>
                <w:bCs/>
              </w:rPr>
              <w:t xml:space="preserve"> часов)</w:t>
            </w:r>
          </w:p>
        </w:tc>
      </w:tr>
      <w:tr w:rsidR="00457B63" w:rsidRPr="00981372" w:rsidTr="00EB18D4">
        <w:trPr>
          <w:trHeight w:val="838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C769C" w:rsidP="00EC76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372">
              <w:rPr>
                <w:rFonts w:ascii="Arial" w:hAnsi="Arial" w:cs="Arial"/>
                <w:sz w:val="18"/>
                <w:szCs w:val="18"/>
              </w:rPr>
              <w:t>05.09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sz w:val="20"/>
                <w:szCs w:val="20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Повторение ранее пройденных стороевых упражнений. Специальные беговые упражнения.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 с ускорением 30  м,с</w:t>
            </w:r>
            <w:r w:rsidRPr="00981372">
              <w:rPr>
                <w:rStyle w:val="c1"/>
                <w:sz w:val="20"/>
                <w:szCs w:val="20"/>
              </w:rPr>
              <w:t xml:space="preserve">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максимальной скоростью. Старты из различных и.п. Максимально быстрый бег на месте (сериями по 15 – 20 с).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Уметь демонстрировать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П.</w:t>
            </w:r>
            <w:r w:rsidRPr="00981372">
              <w:rPr>
                <w:rStyle w:val="c1"/>
                <w:sz w:val="20"/>
                <w:szCs w:val="20"/>
              </w:rPr>
              <w:t xml:space="preserve">: демонстрировать вариативное выполнение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981372" w:rsidTr="00F1589E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1589E" w:rsidRDefault="00F1589E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1589E" w:rsidRDefault="00F1589E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Высокий старт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Финальное усилие.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бегдо 60 метров</w:t>
            </w:r>
            <w:r w:rsidRPr="00981372">
              <w:rPr>
                <w:rStyle w:val="c1"/>
                <w:sz w:val="20"/>
                <w:szCs w:val="20"/>
              </w:rPr>
              <w:t xml:space="preserve"> 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с передачей эстафетной палочки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. Бег 300метров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демонстрировать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1589E" w:rsidRDefault="00F1589E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F1589E" w:rsidRPr="00981372" w:rsidTr="00D6780B">
        <w:trPr>
          <w:trHeight w:val="2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F1589E" w:rsidRDefault="00F1589E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589E"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скоростных способностей.</w:t>
            </w:r>
          </w:p>
          <w:p w:rsidR="00F1589E" w:rsidRPr="00981372" w:rsidRDefault="00F1589E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ОРУ в движении.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Упражнения на пресс</w:t>
            </w:r>
            <w:r w:rsidRPr="00981372">
              <w:rPr>
                <w:rStyle w:val="c1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</w:t>
            </w:r>
            <w:r w:rsidRPr="00981372">
              <w:rPr>
                <w:rStyle w:val="c1"/>
                <w:sz w:val="20"/>
                <w:szCs w:val="20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правильно выполнять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457B63" w:rsidRPr="00981372" w:rsidTr="00F1589E">
              <w:trPr>
                <w:trHeight w:val="215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FE6A12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31"/>
                      <w:b/>
                      <w:bCs/>
                    </w:rPr>
                    <w:t>Баскетбол (</w:t>
                  </w:r>
                  <w:r w:rsidR="00FE6A12" w:rsidRPr="00981372">
                    <w:rPr>
                      <w:rStyle w:val="c31"/>
                      <w:b/>
                      <w:bCs/>
                    </w:rPr>
                    <w:t>10</w:t>
                  </w:r>
                  <w:r w:rsidRPr="00981372">
                    <w:rPr>
                      <w:rStyle w:val="c31"/>
                      <w:b/>
                      <w:bCs/>
                    </w:rPr>
                    <w:t>часов)</w:t>
                  </w:r>
                </w:p>
              </w:tc>
            </w:tr>
            <w:tr w:rsidR="00457B63" w:rsidRPr="00981372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EB18D4" w:rsidP="00EB18D4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7</w:t>
                  </w:r>
                  <w:r w:rsidR="00457B63" w:rsidRPr="00981372">
                    <w:rPr>
                      <w:rStyle w:val="c1"/>
                      <w:sz w:val="20"/>
                      <w:szCs w:val="20"/>
                    </w:rPr>
                    <w:t>-</w:t>
                  </w:r>
                  <w:r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F1589E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25.09 – 26.09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Правила игры в баскетбол. Терминология игры в баскетбол. Прием и передача мяча.</w:t>
                  </w:r>
                </w:p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Инструктаж по баскетболу. 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981372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981372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98137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EB18D4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F1589E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89E">
                    <w:rPr>
                      <w:rFonts w:ascii="Arial" w:hAnsi="Arial" w:cs="Arial"/>
                      <w:sz w:val="18"/>
                      <w:szCs w:val="18"/>
                    </w:rPr>
                    <w:t>02.10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>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Проявлять качества силы, быстроты и координации при выполнении упражнений с 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>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 xml:space="preserve">Осваивать универсальные умения в процессе учебной и игровой 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>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lastRenderedPageBreak/>
                    <w:t>Р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 xml:space="preserve">.: взаимодействовать со сверстниками 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>в процессе совместного освоения технических действий.</w:t>
                  </w:r>
                </w:p>
              </w:tc>
            </w:tr>
            <w:tr w:rsidR="00457B63" w:rsidRPr="0098137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F1589E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03.10 – 09.10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98137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6A3A9A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lastRenderedPageBreak/>
                    <w:t>1</w:t>
                  </w:r>
                  <w:r w:rsidR="00EB18D4">
                    <w:rPr>
                      <w:rStyle w:val="c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F1589E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10.10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Бросок мяча</w:t>
                  </w:r>
                </w:p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К.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98137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15</w:t>
                  </w:r>
                  <w:r w:rsidR="00457B63" w:rsidRPr="00981372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981372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F1589E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89E">
                    <w:rPr>
                      <w:rFonts w:ascii="Arial" w:hAnsi="Arial" w:cs="Arial"/>
                      <w:sz w:val="18"/>
                      <w:szCs w:val="18"/>
                    </w:rPr>
                    <w:t>16.10 – 17.10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981372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98137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17</w:t>
                  </w:r>
                  <w:r w:rsidR="00457B63" w:rsidRPr="00981372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981372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F1589E" w:rsidRDefault="00D619F0" w:rsidP="00F158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23.10 – 24.10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"/>
                      <w:sz w:val="20"/>
                      <w:szCs w:val="20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981372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981372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457B63" w:rsidRPr="00981372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981372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981372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981372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81372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981372">
                    <w:rPr>
                      <w:rStyle w:val="c1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</w:rPr>
            </w:pPr>
            <w:r w:rsidRPr="00981372">
              <w:rPr>
                <w:rStyle w:val="c31"/>
                <w:b/>
                <w:bCs/>
              </w:rPr>
              <w:t xml:space="preserve">                                                                                   Гимнастика с основами акробатики (1</w:t>
            </w:r>
            <w:r w:rsidR="00FE6A12" w:rsidRPr="00981372">
              <w:rPr>
                <w:rStyle w:val="c31"/>
                <w:b/>
                <w:bCs/>
              </w:rPr>
              <w:t>2</w:t>
            </w:r>
            <w:r w:rsidRPr="00981372">
              <w:rPr>
                <w:rStyle w:val="c31"/>
                <w:b/>
                <w:bCs/>
              </w:rPr>
              <w:t xml:space="preserve"> часов)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B63" w:rsidRPr="00981372" w:rsidTr="00981372">
        <w:trPr>
          <w:trHeight w:val="4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6A3A9A" w:rsidP="00EB18D4">
            <w:pPr>
              <w:pStyle w:val="c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1</w:t>
            </w:r>
            <w:r w:rsidR="00EB18D4">
              <w:rPr>
                <w:rStyle w:val="c1"/>
                <w:sz w:val="20"/>
                <w:szCs w:val="20"/>
              </w:rPr>
              <w:t>9</w:t>
            </w:r>
            <w:r w:rsidRPr="00981372">
              <w:rPr>
                <w:rStyle w:val="c1"/>
                <w:sz w:val="20"/>
                <w:szCs w:val="20"/>
              </w:rPr>
              <w:t>-</w:t>
            </w:r>
            <w:r w:rsidR="00EB18D4">
              <w:rPr>
                <w:rStyle w:val="c1"/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1589E" w:rsidRDefault="00D619F0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07.11 – 13.11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32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Основы знаний по гимнастике и акробатике. Т.Б. при выполнении гимнастических и акробатических упражнений Вис;  прогнувшись и согнувшись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Вис на согнутых руках, согнув ноги; на гимнастической стенке вис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Самостоятельно</w:t>
            </w:r>
            <w:r w:rsidRPr="00981372">
              <w:rPr>
                <w:rStyle w:val="c53"/>
                <w:sz w:val="22"/>
                <w:szCs w:val="22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21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1589E" w:rsidRDefault="00D619F0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 – 20.11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Перестроение из колонны по одному в 2. Кувырок назад;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Строевые упражнения. Сочетание различных положений рук, ног, туловища. Простые связки,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Кувырок назад; кувырок вперед;  перекатом стойка на лопатках; мост с помощью 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самостоятельно.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Комбинации из основных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Видеть красоту движений, выделять и обосновывать эстетические признаки в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 xml:space="preserve">демонстрировать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вариативное выполнение гимнастических упражнений.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981372" w:rsidTr="00981372">
        <w:trPr>
          <w:trHeight w:val="70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23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D619F0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19F0">
              <w:rPr>
                <w:rFonts w:ascii="Times New Roman" w:hAnsi="Times New Roman" w:cs="Times New Roman"/>
                <w:sz w:val="20"/>
                <w:szCs w:val="20"/>
              </w:rPr>
              <w:t>21.11 – 27.11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Построения и перестроения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457B63" w:rsidRPr="00981372" w:rsidTr="00981372">
        <w:trPr>
          <w:trHeight w:val="20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25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D619F0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19F0"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04.12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гибкости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Упражнение с утяжелением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К.:</w:t>
            </w:r>
            <w:r w:rsidRPr="00981372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27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D619F0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 – 11.12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в висе и упорах.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"/>
                <w:sz w:val="20"/>
                <w:szCs w:val="20"/>
              </w:rPr>
              <w:t>Ходьба с различной амплитудой движений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Выполнять акробатические комбинации на необходимом техничном уровне,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71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6A3A9A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D619F0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12.12 </w:t>
            </w:r>
            <w:r w:rsidR="00AA65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650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3449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Pr="00981372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28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lastRenderedPageBreak/>
              <w:t xml:space="preserve">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2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а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864974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правильно вести себя на уроке по  разделу волейбол и  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Лыжная подготовка (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16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Лыжная подготовка. Попеременный и одновременный двухшажный ход..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Совершенствовать технику бесшажного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технику  попеременного и одновременного двухшажных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попеременно и одновременно двухшажному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35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16.12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Техника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одновременного двухшажного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Бесшажный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одновременный ход.Техника одновременного двухшажного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выполнять технику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одновременного двухшажного хода Как совершенствовать технику бесшажного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попеременно и одновременно двухшажному ходу, и  бесшажному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Осваивать технику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 xml:space="preserve">.:  использовать передвижение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37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 – 29.01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бесшажного одновременного хода 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Одновременный бесшажный ход.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правилно выполнить на оценку   технику бесшажного одновременного хода 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 выполнять бесшажный одновременный ход 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 – 05.02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41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 – 12.02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 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43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 – 19.02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45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 – 26.02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 .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47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 – 05.03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 .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Спортивные игры. 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  <w:r w:rsidR="00EB18D4">
              <w:rPr>
                <w:rStyle w:val="c1"/>
                <w:sz w:val="20"/>
                <w:szCs w:val="20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правильно вести себя на уроке по  разделу волейбол и  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технических действий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Прием. Передача.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Прием. Передача мяча сверху.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Осуществлять судейство игры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СПУ волейболиста. Двигательные качества.</w:t>
            </w:r>
            <w:r w:rsidRPr="00981372">
              <w:rPr>
                <w:rStyle w:val="c31"/>
                <w:b/>
                <w:bCs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FE6A12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D619F0" w:rsidRDefault="00395289" w:rsidP="00EB18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D619F0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0"/>
                <w:szCs w:val="20"/>
              </w:rPr>
            </w:pPr>
          </w:p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Легкая атлетика  (1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>часов)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ТС и ТБ по разделу. Строевая подготовка. Беговые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правильно выполнять технические действия по  разделу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Строевая подготовка.  Разбег. Прыжок в высоту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строевой подготовке и технике разбега  прыжка в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Описывать технику выполнения прыжковых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упражнений 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 xml:space="preserve">.: включать беговые упражнения в различные формы занятий физической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Как совершенствовать технику метания теннисного мяча.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Упражнение – метание тенниного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 30 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Скакалка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CA01D1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Бег 60 м. на результат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бег 60 м. на результат.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беговых упражнений 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 xml:space="preserve">.: демонстрировать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прыжка в длину с разбега 11-15 шагов. Развитие выносливости. Бег 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прыжки в длину с разбега 11-15 шагов. Как развить выносливость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Прыжок в длину</w:t>
            </w:r>
            <w:r w:rsidRPr="00981372">
              <w:rPr>
                <w:rStyle w:val="c1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Эстафетная палочка. Бег на выносливость.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5E3D9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КУ - бег 1500 м</w:t>
            </w:r>
            <w:r w:rsidRPr="00981372">
              <w:rPr>
                <w:rStyle w:val="c1"/>
                <w:sz w:val="20"/>
                <w:szCs w:val="20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</w:tbl>
    <w:p w:rsidR="00457B63" w:rsidRDefault="00457B63" w:rsidP="0060353F">
      <w:r>
        <w:t xml:space="preserve">Итого: </w:t>
      </w:r>
      <w:r w:rsidR="00FE6A12">
        <w:t>68 часов</w:t>
      </w:r>
      <w:r>
        <w:t>.</w:t>
      </w:r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D6780B">
      <w:pgSz w:w="16838" w:h="11906" w:orient="landscape"/>
      <w:pgMar w:top="284" w:right="1134" w:bottom="28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F2C" w:rsidRDefault="002E2F2C" w:rsidP="00D6780B">
      <w:pPr>
        <w:spacing w:after="0" w:line="240" w:lineRule="auto"/>
      </w:pPr>
      <w:r>
        <w:separator/>
      </w:r>
    </w:p>
  </w:endnote>
  <w:endnote w:type="continuationSeparator" w:id="1">
    <w:p w:rsidR="002E2F2C" w:rsidRDefault="002E2F2C" w:rsidP="00D6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154"/>
    </w:sdtPr>
    <w:sdtContent>
      <w:p w:rsidR="00864974" w:rsidRDefault="004E6773">
        <w:pPr>
          <w:pStyle w:val="ab"/>
          <w:jc w:val="right"/>
        </w:pPr>
        <w:fldSimple w:instr=" PAGE   \* MERGEFORMAT ">
          <w:r w:rsidR="008738ED">
            <w:rPr>
              <w:noProof/>
            </w:rPr>
            <w:t>2</w:t>
          </w:r>
        </w:fldSimple>
      </w:p>
    </w:sdtContent>
  </w:sdt>
  <w:p w:rsidR="00864974" w:rsidRDefault="008649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F2C" w:rsidRDefault="002E2F2C" w:rsidP="00D6780B">
      <w:pPr>
        <w:spacing w:after="0" w:line="240" w:lineRule="auto"/>
      </w:pPr>
      <w:r>
        <w:separator/>
      </w:r>
    </w:p>
  </w:footnote>
  <w:footnote w:type="continuationSeparator" w:id="1">
    <w:p w:rsidR="002E2F2C" w:rsidRDefault="002E2F2C" w:rsidP="00D6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251F5"/>
    <w:rsid w:val="00042342"/>
    <w:rsid w:val="00086B4D"/>
    <w:rsid w:val="00087413"/>
    <w:rsid w:val="000A26E4"/>
    <w:rsid w:val="000B02DC"/>
    <w:rsid w:val="000B459A"/>
    <w:rsid w:val="000E16C0"/>
    <w:rsid w:val="00116554"/>
    <w:rsid w:val="00192C66"/>
    <w:rsid w:val="001D3717"/>
    <w:rsid w:val="00245BA1"/>
    <w:rsid w:val="00283295"/>
    <w:rsid w:val="002E2F2C"/>
    <w:rsid w:val="00307755"/>
    <w:rsid w:val="00395289"/>
    <w:rsid w:val="00457B63"/>
    <w:rsid w:val="00483AC5"/>
    <w:rsid w:val="00495D25"/>
    <w:rsid w:val="004E6773"/>
    <w:rsid w:val="005E3D9A"/>
    <w:rsid w:val="0060353F"/>
    <w:rsid w:val="006251F5"/>
    <w:rsid w:val="00652087"/>
    <w:rsid w:val="00696BE1"/>
    <w:rsid w:val="006A3A9A"/>
    <w:rsid w:val="0070390F"/>
    <w:rsid w:val="00704D4E"/>
    <w:rsid w:val="0075379F"/>
    <w:rsid w:val="00825D1F"/>
    <w:rsid w:val="00850922"/>
    <w:rsid w:val="00864974"/>
    <w:rsid w:val="008738ED"/>
    <w:rsid w:val="008B0709"/>
    <w:rsid w:val="00944745"/>
    <w:rsid w:val="009512ED"/>
    <w:rsid w:val="00981372"/>
    <w:rsid w:val="00983304"/>
    <w:rsid w:val="009A4D0E"/>
    <w:rsid w:val="00A23F77"/>
    <w:rsid w:val="00AA6509"/>
    <w:rsid w:val="00B34063"/>
    <w:rsid w:val="00B51967"/>
    <w:rsid w:val="00B7321B"/>
    <w:rsid w:val="00CA01D1"/>
    <w:rsid w:val="00CC6D59"/>
    <w:rsid w:val="00D33D4C"/>
    <w:rsid w:val="00D3449D"/>
    <w:rsid w:val="00D619F0"/>
    <w:rsid w:val="00D6780B"/>
    <w:rsid w:val="00DC3751"/>
    <w:rsid w:val="00DD208D"/>
    <w:rsid w:val="00DD775C"/>
    <w:rsid w:val="00DD7C99"/>
    <w:rsid w:val="00E84848"/>
    <w:rsid w:val="00EB18D4"/>
    <w:rsid w:val="00EC769C"/>
    <w:rsid w:val="00ED31E1"/>
    <w:rsid w:val="00EE1E77"/>
    <w:rsid w:val="00F1589E"/>
    <w:rsid w:val="00F5387C"/>
    <w:rsid w:val="00F57DC0"/>
    <w:rsid w:val="00F87FE9"/>
    <w:rsid w:val="00F9433E"/>
    <w:rsid w:val="00FE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780B"/>
    <w:rPr>
      <w:rFonts w:cs="Calibri"/>
      <w:lang w:eastAsia="en-US"/>
    </w:rPr>
  </w:style>
  <w:style w:type="paragraph" w:styleId="ab">
    <w:name w:val="footer"/>
    <w:basedOn w:val="a"/>
    <w:link w:val="ac"/>
    <w:uiPriority w:val="99"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780B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0CAF3-244D-4772-BEDB-B06B1DD4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25</Pages>
  <Words>7204</Words>
  <Characters>41064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1</cp:lastModifiedBy>
  <cp:revision>13</cp:revision>
  <dcterms:created xsi:type="dcterms:W3CDTF">2017-09-07T10:47:00Z</dcterms:created>
  <dcterms:modified xsi:type="dcterms:W3CDTF">2017-10-30T11:38:00Z</dcterms:modified>
</cp:coreProperties>
</file>