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41" w:rsidRDefault="005C1C41" w:rsidP="00AC40BA">
      <w:pPr>
        <w:autoSpaceDE w:val="0"/>
        <w:autoSpaceDN w:val="0"/>
        <w:adjustRightInd w:val="0"/>
        <w:ind w:left="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ru-RU"/>
        </w:rPr>
        <w:drawing>
          <wp:inline distT="0" distB="0" distL="0" distR="0">
            <wp:extent cx="8639175" cy="5406328"/>
            <wp:effectExtent l="19050" t="0" r="9525" b="0"/>
            <wp:docPr id="2" name="Рисунок 2" descr="C:\Users\СОШ№2\Desktop\рабочие программы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ОШ№2\Desktop\рабочие программы\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5406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C41" w:rsidRDefault="005C1C41" w:rsidP="00AC40BA">
      <w:pPr>
        <w:autoSpaceDE w:val="0"/>
        <w:autoSpaceDN w:val="0"/>
        <w:adjustRightInd w:val="0"/>
        <w:ind w:left="851"/>
        <w:jc w:val="center"/>
        <w:rPr>
          <w:rFonts w:ascii="Calibri" w:hAnsi="Calibri" w:cs="Calibri"/>
          <w:sz w:val="22"/>
          <w:szCs w:val="22"/>
        </w:rPr>
      </w:pPr>
    </w:p>
    <w:p w:rsidR="001B6579" w:rsidRDefault="001B6579" w:rsidP="003C7D4D">
      <w:pPr>
        <w:autoSpaceDE w:val="0"/>
        <w:autoSpaceDN w:val="0"/>
        <w:adjustRightInd w:val="0"/>
        <w:ind w:left="851"/>
        <w:jc w:val="center"/>
        <w:rPr>
          <w:rFonts w:ascii="Times New Roman CYR" w:hAnsi="Times New Roman CYR" w:cs="Times New Roman CYR"/>
          <w:b/>
          <w:bCs/>
        </w:rPr>
      </w:pPr>
    </w:p>
    <w:p w:rsidR="00AC40BA" w:rsidRPr="00AC40BA" w:rsidRDefault="00AC40BA" w:rsidP="003C7D4D">
      <w:pPr>
        <w:autoSpaceDE w:val="0"/>
        <w:autoSpaceDN w:val="0"/>
        <w:adjustRightInd w:val="0"/>
        <w:ind w:left="851"/>
        <w:jc w:val="center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 xml:space="preserve">Личностные, </w:t>
      </w:r>
      <w:proofErr w:type="spellStart"/>
      <w:r>
        <w:rPr>
          <w:rFonts w:ascii="Times New Roman CYR" w:hAnsi="Times New Roman CYR" w:cs="Times New Roman CYR"/>
          <w:b/>
          <w:bCs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и предметные результаты освоения учебного предмета </w:t>
      </w:r>
      <w:r w:rsidRPr="00AC40BA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Математика</w:t>
      </w:r>
      <w:r w:rsidRPr="00AC40BA">
        <w:rPr>
          <w:b/>
          <w:bCs/>
        </w:rPr>
        <w:t>»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left="20" w:right="20" w:firstLine="688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</w:rPr>
        <w:t>Математическое образование 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</w:t>
      </w:r>
      <w:r>
        <w:rPr>
          <w:rFonts w:ascii="Times New Roman CYR" w:hAnsi="Times New Roman CYR" w:cs="Times New Roman CYR"/>
          <w:i/>
          <w:iCs/>
        </w:rPr>
        <w:t xml:space="preserve"> результатов: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в направлении личностного развития: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Развитие логического и критического мышления, культуры речи, способности к умственному эксперименту;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Формирование качеств мышления, необходимых для адаптации в современном информационном обществе;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Развитие интереса к математическому творчеству и математических способностей;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 CYR" w:hAnsi="Times New Roman CYR" w:cs="Times New Roman CYR"/>
        </w:rPr>
        <w:t>контрпримеры</w:t>
      </w:r>
      <w:proofErr w:type="spellEnd"/>
      <w:r>
        <w:rPr>
          <w:rFonts w:ascii="Times New Roman CYR" w:hAnsi="Times New Roman CYR" w:cs="Times New Roman CYR"/>
        </w:rPr>
        <w:t>;</w:t>
      </w:r>
    </w:p>
    <w:p w:rsidR="00AC40BA" w:rsidRDefault="00AC40BA" w:rsidP="00AC40BA">
      <w:pPr>
        <w:numPr>
          <w:ilvl w:val="0"/>
          <w:numId w:val="1"/>
        </w:numPr>
        <w:tabs>
          <w:tab w:val="left" w:pos="862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AC40BA" w:rsidRDefault="00AC40BA" w:rsidP="00AC40BA">
      <w:pPr>
        <w:numPr>
          <w:ilvl w:val="0"/>
          <w:numId w:val="1"/>
        </w:numPr>
        <w:tabs>
          <w:tab w:val="left" w:pos="858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AC40BA" w:rsidRDefault="00AC40BA" w:rsidP="00AC40BA">
      <w:pPr>
        <w:numPr>
          <w:ilvl w:val="0"/>
          <w:numId w:val="1"/>
        </w:numPr>
        <w:tabs>
          <w:tab w:val="left" w:pos="872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proofErr w:type="spellStart"/>
      <w:r>
        <w:rPr>
          <w:rFonts w:ascii="Times New Roman CYR" w:hAnsi="Times New Roman CYR" w:cs="Times New Roman CYR"/>
          <w:color w:val="000000"/>
          <w:highlight w:val="white"/>
        </w:rPr>
        <w:t>Креативность</w:t>
      </w:r>
      <w:proofErr w:type="spellEnd"/>
      <w:r>
        <w:rPr>
          <w:rFonts w:ascii="Times New Roman CYR" w:hAnsi="Times New Roman CYR" w:cs="Times New Roman CYR"/>
          <w:color w:val="000000"/>
          <w:highlight w:val="white"/>
        </w:rPr>
        <w:t xml:space="preserve"> мышления, инициатива, находчивость, активность при решении математических задач;</w:t>
      </w:r>
    </w:p>
    <w:p w:rsidR="00AC40BA" w:rsidRDefault="00AC40BA" w:rsidP="00AC40BA">
      <w:pPr>
        <w:numPr>
          <w:ilvl w:val="0"/>
          <w:numId w:val="1"/>
        </w:numPr>
        <w:tabs>
          <w:tab w:val="left" w:pos="858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контролировать процесс и результат учебной математической деятельности;</w:t>
      </w:r>
    </w:p>
    <w:p w:rsidR="00AC40BA" w:rsidRDefault="00AC40BA" w:rsidP="00AC40BA">
      <w:pPr>
        <w:numPr>
          <w:ilvl w:val="0"/>
          <w:numId w:val="1"/>
        </w:numPr>
        <w:tabs>
          <w:tab w:val="left" w:pos="853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Способность к эмоциональному восприятию математических объектов, задач, решений, рассуждений;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i/>
          <w:iCs/>
          <w:color w:val="000000"/>
        </w:rPr>
      </w:pPr>
      <w:proofErr w:type="gramStart"/>
      <w:r>
        <w:rPr>
          <w:i/>
          <w:iCs/>
          <w:color w:val="000000"/>
          <w:lang w:val="en-US"/>
        </w:rPr>
        <w:t>2)</w:t>
      </w:r>
      <w:r>
        <w:rPr>
          <w:rFonts w:ascii="Times New Roman CYR" w:hAnsi="Times New Roman CYR" w:cs="Times New Roman CYR"/>
          <w:i/>
          <w:iCs/>
          <w:color w:val="000000"/>
        </w:rPr>
        <w:t>в</w:t>
      </w:r>
      <w:proofErr w:type="gramEnd"/>
      <w:r>
        <w:rPr>
          <w:rFonts w:ascii="Times New Roman CYR" w:hAnsi="Times New Roman CYR" w:cs="Times New Roman CYR"/>
          <w:i/>
          <w:iCs/>
          <w:color w:val="000000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</w:rPr>
        <w:t>метапредметном</w:t>
      </w:r>
      <w:proofErr w:type="spellEnd"/>
      <w:r>
        <w:rPr>
          <w:rFonts w:ascii="Times New Roman CYR" w:hAnsi="Times New Roman CYR" w:cs="Times New Roman CYR"/>
          <w:i/>
          <w:iCs/>
          <w:color w:val="000000"/>
        </w:rPr>
        <w:t xml:space="preserve"> направлении: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AC40BA" w:rsidRDefault="00AC40BA" w:rsidP="00AC40BA">
      <w:pPr>
        <w:numPr>
          <w:ilvl w:val="0"/>
          <w:numId w:val="1"/>
        </w:numPr>
        <w:tabs>
          <w:tab w:val="left" w:pos="867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AC40BA" w:rsidRDefault="00AC40BA" w:rsidP="00AC40BA">
      <w:pPr>
        <w:numPr>
          <w:ilvl w:val="0"/>
          <w:numId w:val="1"/>
        </w:numPr>
        <w:tabs>
          <w:tab w:val="left" w:pos="853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AC40BA" w:rsidRDefault="00AC40BA" w:rsidP="00AC40BA">
      <w:pPr>
        <w:numPr>
          <w:ilvl w:val="0"/>
          <w:numId w:val="1"/>
        </w:numPr>
        <w:tabs>
          <w:tab w:val="left" w:pos="858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AC40BA" w:rsidRDefault="00AC40BA" w:rsidP="00AC40BA">
      <w:pPr>
        <w:numPr>
          <w:ilvl w:val="0"/>
          <w:numId w:val="1"/>
        </w:numPr>
        <w:tabs>
          <w:tab w:val="left" w:pos="862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понимать и использовать математические средства наглядности (графики, диаграммы, таблицы, схемы и др.) для иллюстрации,        интерпретации, аргументации;</w:t>
      </w:r>
    </w:p>
    <w:p w:rsidR="00AC40BA" w:rsidRDefault="00AC40BA" w:rsidP="00AC40BA">
      <w:pPr>
        <w:numPr>
          <w:ilvl w:val="0"/>
          <w:numId w:val="1"/>
        </w:numPr>
        <w:tabs>
          <w:tab w:val="left" w:pos="862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lastRenderedPageBreak/>
        <w:t>Умение выдвигать гипотезы при решении учебных задач, понимать необходимость их проверки;</w:t>
      </w:r>
    </w:p>
    <w:p w:rsidR="00AC40BA" w:rsidRDefault="00AC40BA" w:rsidP="00AC40BA">
      <w:pPr>
        <w:numPr>
          <w:ilvl w:val="0"/>
          <w:numId w:val="1"/>
        </w:numPr>
        <w:tabs>
          <w:tab w:val="left" w:pos="853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AC40BA" w:rsidRDefault="00AC40BA" w:rsidP="00AC40BA">
      <w:pPr>
        <w:numPr>
          <w:ilvl w:val="0"/>
          <w:numId w:val="1"/>
        </w:numPr>
        <w:tabs>
          <w:tab w:val="left" w:pos="862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AC40BA" w:rsidRDefault="00AC40BA" w:rsidP="00AC40BA">
      <w:pPr>
        <w:numPr>
          <w:ilvl w:val="0"/>
          <w:numId w:val="1"/>
        </w:numPr>
        <w:tabs>
          <w:tab w:val="left" w:pos="862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AC40BA" w:rsidRDefault="00AC40BA" w:rsidP="00AC40BA">
      <w:pPr>
        <w:numPr>
          <w:ilvl w:val="0"/>
          <w:numId w:val="1"/>
        </w:numPr>
        <w:tabs>
          <w:tab w:val="left" w:pos="853"/>
        </w:tabs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в предметном направлении: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AC40BA" w:rsidRDefault="00AC40BA" w:rsidP="00AC40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Создание фундамента для математического развития, формирования механизмов мышления, характерных для математической деятельности;</w:t>
      </w:r>
    </w:p>
    <w:p w:rsidR="00AC40BA" w:rsidRDefault="00AC40BA" w:rsidP="00AC40BA">
      <w:pPr>
        <w:numPr>
          <w:ilvl w:val="0"/>
          <w:numId w:val="1"/>
        </w:numPr>
        <w:tabs>
          <w:tab w:val="left" w:pos="679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Овладение базовым понятийным аппаратом по основным разделам содержания, представление об основных изучаемых понятиях (число, геометрическая фигура, уравнение, вероятность) как важнейших математических моделях, позволяющих описывать и изучать реальные процессы и явления;</w:t>
      </w:r>
    </w:p>
    <w:p w:rsidR="00AC40BA" w:rsidRDefault="00AC40BA" w:rsidP="00AC40BA">
      <w:pPr>
        <w:numPr>
          <w:ilvl w:val="0"/>
          <w:numId w:val="1"/>
        </w:numPr>
        <w:tabs>
          <w:tab w:val="left" w:pos="679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AC40BA" w:rsidRDefault="00AC40BA" w:rsidP="00AC40BA">
      <w:pPr>
        <w:numPr>
          <w:ilvl w:val="0"/>
          <w:numId w:val="1"/>
        </w:numPr>
        <w:tabs>
          <w:tab w:val="left" w:pos="680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Развитие представлений о числе, натуральных чисел, овладение навыками устных, письменных, инструментальных вычислений;</w:t>
      </w:r>
    </w:p>
    <w:p w:rsidR="00AC40BA" w:rsidRDefault="00AC40BA" w:rsidP="00AC40BA">
      <w:pPr>
        <w:numPr>
          <w:ilvl w:val="0"/>
          <w:numId w:val="1"/>
        </w:numPr>
        <w:tabs>
          <w:tab w:val="left" w:pos="680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AC40BA" w:rsidRDefault="00AC40BA" w:rsidP="00AC40BA">
      <w:pPr>
        <w:numPr>
          <w:ilvl w:val="0"/>
          <w:numId w:val="1"/>
        </w:numPr>
        <w:tabs>
          <w:tab w:val="left" w:pos="680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AC40BA" w:rsidRDefault="00AC40BA" w:rsidP="00AC40BA">
      <w:pPr>
        <w:numPr>
          <w:ilvl w:val="0"/>
          <w:numId w:val="1"/>
        </w:numPr>
        <w:tabs>
          <w:tab w:val="left" w:pos="680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AC40BA" w:rsidRDefault="00AC40BA" w:rsidP="00AC40BA">
      <w:pPr>
        <w:numPr>
          <w:ilvl w:val="0"/>
          <w:numId w:val="1"/>
        </w:numPr>
        <w:tabs>
          <w:tab w:val="left" w:pos="680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AC40BA" w:rsidRDefault="00AC40BA" w:rsidP="00AC40BA">
      <w:pPr>
        <w:numPr>
          <w:ilvl w:val="0"/>
          <w:numId w:val="1"/>
        </w:numPr>
        <w:tabs>
          <w:tab w:val="left" w:pos="668"/>
        </w:tabs>
        <w:autoSpaceDE w:val="0"/>
        <w:autoSpaceDN w:val="0"/>
        <w:adjustRightInd w:val="0"/>
        <w:spacing w:after="0" w:line="240" w:lineRule="auto"/>
        <w:ind w:right="200" w:firstLine="709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проводить классификации, логические обоснования, доказательства математических утверждений;</w:t>
      </w:r>
    </w:p>
    <w:p w:rsidR="00AC40BA" w:rsidRDefault="00AC40BA" w:rsidP="00AC40BA">
      <w:pPr>
        <w:numPr>
          <w:ilvl w:val="0"/>
          <w:numId w:val="1"/>
        </w:numPr>
        <w:tabs>
          <w:tab w:val="left" w:pos="678"/>
        </w:tabs>
        <w:autoSpaceDE w:val="0"/>
        <w:autoSpaceDN w:val="0"/>
        <w:adjustRightInd w:val="0"/>
        <w:spacing w:after="0" w:line="240" w:lineRule="auto"/>
        <w:ind w:right="200" w:firstLine="709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Умение распознавать виды математических утверждений (аксиомы, определения, теоремы и др.), прямые и обратные теоремы;</w:t>
      </w:r>
    </w:p>
    <w:p w:rsidR="00AC40BA" w:rsidRDefault="00AC40BA" w:rsidP="00AC40BA">
      <w:pPr>
        <w:numPr>
          <w:ilvl w:val="0"/>
          <w:numId w:val="1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right="200" w:firstLine="709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преобразования, аппарат уравнений и неравен</w:t>
      </w:r>
      <w:proofErr w:type="gramStart"/>
      <w:r>
        <w:rPr>
          <w:rFonts w:ascii="Times New Roman CYR" w:hAnsi="Times New Roman CYR" w:cs="Times New Roman CYR"/>
          <w:color w:val="000000"/>
          <w:highlight w:val="white"/>
        </w:rPr>
        <w:t>ств  дл</w:t>
      </w:r>
      <w:proofErr w:type="gramEnd"/>
      <w:r>
        <w:rPr>
          <w:rFonts w:ascii="Times New Roman CYR" w:hAnsi="Times New Roman CYR" w:cs="Times New Roman CYR"/>
          <w:color w:val="000000"/>
          <w:highlight w:val="white"/>
        </w:rPr>
        <w:t>я решения задач из различных разделов курса;</w:t>
      </w:r>
    </w:p>
    <w:p w:rsidR="00AC40BA" w:rsidRDefault="00AC40BA" w:rsidP="00AC40BA">
      <w:pPr>
        <w:numPr>
          <w:ilvl w:val="0"/>
          <w:numId w:val="1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right="200" w:firstLine="709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lastRenderedPageBreak/>
        <w:t>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AC40BA" w:rsidRPr="00AC40BA" w:rsidRDefault="00AC40BA" w:rsidP="00AC40B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:rsidR="00AC40BA" w:rsidRPr="00AC40BA" w:rsidRDefault="00AC40BA" w:rsidP="00AC40B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:rsidR="00AC40BA" w:rsidRDefault="00AC40BA" w:rsidP="00AC40B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Содержание курса  (99 часов)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>Повторение курса алгебры 7-8 класса (5 часов)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Рациональные неравенства и их системы (16 ч)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Линейные и квадратные неравенства (повторение). Рациональное неравенство. Метод интервалов.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Множества и операции над ними.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Система неравенств. Решение системы неравенств.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Системы уравнений (15 ч)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 xml:space="preserve">Рациональное уравнение с двумя переменными. Решение уравнения </w:t>
      </w:r>
      <w:proofErr w:type="spellStart"/>
      <w:proofErr w:type="gram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р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(</w:t>
      </w:r>
      <w:proofErr w:type="spellStart"/>
      <w:proofErr w:type="gram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х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; у) = 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0. Равносильные уравнения с двумя переменными. Формула расстояния между двумя точками координатной плоскости. График уравнения 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х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- а)</w:t>
      </w:r>
      <w:r>
        <w:rPr>
          <w:rFonts w:ascii="Times New Roman CYR" w:hAnsi="Times New Roman CYR" w:cs="Times New Roman CYR"/>
          <w:i/>
          <w:iCs/>
          <w:color w:val="000000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+ 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(у 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b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)</w:t>
      </w:r>
      <w:r>
        <w:rPr>
          <w:rFonts w:ascii="Times New Roman CYR" w:hAnsi="Times New Roman CYR" w:cs="Times New Roman CYR"/>
          <w:i/>
          <w:iCs/>
          <w:color w:val="000000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=r</w:t>
      </w:r>
      <w:r>
        <w:rPr>
          <w:rFonts w:ascii="Times New Roman CYR" w:hAnsi="Times New Roman CYR" w:cs="Times New Roman CYR"/>
          <w:i/>
          <w:iCs/>
          <w:color w:val="000000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. </w:t>
      </w:r>
      <w:r>
        <w:rPr>
          <w:rFonts w:ascii="Times New Roman CYR" w:hAnsi="Times New Roman CYR" w:cs="Times New Roman CYR"/>
          <w:color w:val="000000"/>
          <w:highlight w:val="white"/>
        </w:rPr>
        <w:t>Система уравнений с двумя переменными. Решение системы уравнений. Неравенства и системы неравен</w:t>
      </w:r>
      <w:proofErr w:type="gramStart"/>
      <w:r>
        <w:rPr>
          <w:rFonts w:ascii="Times New Roman CYR" w:hAnsi="Times New Roman CYR" w:cs="Times New Roman CYR"/>
          <w:color w:val="000000"/>
          <w:highlight w:val="white"/>
        </w:rPr>
        <w:t>ств с дв</w:t>
      </w:r>
      <w:proofErr w:type="gramEnd"/>
      <w:r>
        <w:rPr>
          <w:rFonts w:ascii="Times New Roman CYR" w:hAnsi="Times New Roman CYR" w:cs="Times New Roman CYR"/>
          <w:color w:val="000000"/>
          <w:highlight w:val="white"/>
        </w:rPr>
        <w:t>умя переменными.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Методы решения систем уравнений (метод подстановки, алгебраического сложения, введения новых переменных). Равносильность систем уравнений.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Системы уравнений как математические модели реальных ситуаций.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Числовые функции (23 ч)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Функция. Независимая переменная. Зависимая переменная. Область определения функции. Естественная область определения функции. Область значений функции.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Способы задания функции (аналитический, графический, табличный, словесный).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i/>
          <w:iCs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 xml:space="preserve">Свойства функций (монотонность, ограниченность, выпуклость, наибольшее и наименьшее значения, непрерывность). Исследование функций: 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у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= С</w:t>
      </w:r>
      <w:proofErr w:type="gramEnd"/>
      <w:r>
        <w:rPr>
          <w:rFonts w:ascii="Times New Roman CYR" w:hAnsi="Times New Roman CYR" w:cs="Times New Roman CYR"/>
          <w:color w:val="000000"/>
          <w:highlight w:val="white"/>
        </w:rPr>
        <w:t xml:space="preserve">,  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у 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=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kx+m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,    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=kx</w:t>
      </w:r>
      <w:r>
        <w:rPr>
          <w:rFonts w:ascii="Times New Roman CYR" w:hAnsi="Times New Roman CYR" w:cs="Times New Roman CYR"/>
          <w:i/>
          <w:iCs/>
          <w:color w:val="000000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, 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=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√x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, 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√y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=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k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/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x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=│x│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, 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=ax</w:t>
      </w:r>
      <w:r>
        <w:rPr>
          <w:rFonts w:ascii="Times New Roman CYR" w:hAnsi="Times New Roman CYR" w:cs="Times New Roman CYR"/>
          <w:i/>
          <w:iCs/>
          <w:color w:val="000000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+bx +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c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Четные и нечетные функции. Алгоритм исследования функции на четность. Графики четной и нечетной функций.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Степенная функция с натуральным показателем, ее свойства и график. Степенная функция с отрицательным целым показателем, ее свойства и график.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 xml:space="preserve">Функция 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у 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= </w:t>
      </w:r>
      <w:r>
        <w:rPr>
          <w:rFonts w:ascii="Times New Roman CYR" w:hAnsi="Times New Roman CYR" w:cs="Times New Roman CYR"/>
          <w:color w:val="000000"/>
          <w:highlight w:val="white"/>
          <w:vertAlign w:val="superscript"/>
        </w:rPr>
        <w:t>3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√х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,</w:t>
      </w:r>
      <w:proofErr w:type="gramEnd"/>
      <w:r>
        <w:rPr>
          <w:rFonts w:ascii="Times New Roman CYR" w:hAnsi="Times New Roman CYR" w:cs="Times New Roman CYR"/>
          <w:i/>
          <w:iCs/>
          <w:color w:val="000000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highlight w:val="white"/>
        </w:rPr>
        <w:t>ее свойства и график.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highlight w:val="white"/>
        </w:rPr>
        <w:t>Прогрессии (18 ч)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Числовая последовательность. Способы задания числовых последовательностей (аналитический, словесный, рекуррентный). Свойства числовых последовательностей.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 xml:space="preserve">Арифметическая прогрессия. Формула 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n-</w:t>
      </w:r>
      <w:r>
        <w:rPr>
          <w:rFonts w:ascii="Times New Roman CYR" w:hAnsi="Times New Roman CYR" w:cs="Times New Roman CYR"/>
          <w:color w:val="000000"/>
          <w:highlight w:val="white"/>
        </w:rPr>
        <w:t>го члена. Формула суммы членов конечной арифметической прогрессии. Характеристическое свойство.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 xml:space="preserve">Геометрическая прогрессия. Формула </w:t>
      </w:r>
      <w:r>
        <w:rPr>
          <w:rFonts w:ascii="Times New Roman CYR" w:hAnsi="Times New Roman CYR" w:cs="Times New Roman CYR"/>
          <w:i/>
          <w:iCs/>
          <w:color w:val="000000"/>
          <w:highlight w:val="white"/>
        </w:rPr>
        <w:t>n</w:t>
      </w:r>
      <w:r>
        <w:rPr>
          <w:rFonts w:ascii="Times New Roman CYR" w:hAnsi="Times New Roman CYR" w:cs="Times New Roman CYR"/>
          <w:color w:val="000000"/>
          <w:highlight w:val="white"/>
        </w:rPr>
        <w:t>-го члена. Формула суммы членов конечной геометрической прогрессии. Характеристическое свойство. Прогрессии и банковские расчеты.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lastRenderedPageBreak/>
        <w:t>Элементы комбинаторики, статистики и теории вероятностей (13 ч)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ind w:right="19" w:firstLine="355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Комбинаторные задачи. Правило умножения. Факториал. Перестановки.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Группировка информации. Общий ряд данных. Кратность варианты измерения. Табличное представление информации. Частота варианты. Графическое представление информации. Полигон распределения данных. Гистограмма. Числовые характеристики данных измерения (размах, мода, среднее значение).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Вероятность. Событие (случайное, достоверное, невозможное). Классическая вероятностная схема. Противоположные события. Несовместные события. Вероятность суммы двух событий. Вероятность противоположного события. Статистическая устойчивость. Статистическая вероятность.</w:t>
      </w: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Обобщающее повторение (9ч)</w:t>
      </w:r>
    </w:p>
    <w:p w:rsidR="003C7D4D" w:rsidRDefault="003C7D4D" w:rsidP="00AC4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</w:p>
    <w:p w:rsidR="00AC40BA" w:rsidRDefault="00AC40BA" w:rsidP="00AC4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</w:rPr>
      </w:pPr>
      <w:r>
        <w:rPr>
          <w:rFonts w:ascii="Times New Roman CYR" w:hAnsi="Times New Roman CYR" w:cs="Times New Roman CYR"/>
          <w:b/>
          <w:bCs/>
          <w:color w:val="00000A"/>
        </w:rPr>
        <w:t>Тематическое планирование по алгебре 9 класс</w:t>
      </w:r>
    </w:p>
    <w:p w:rsidR="003C7D4D" w:rsidRDefault="003C7D4D" w:rsidP="00AC4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</w:rPr>
      </w:pPr>
    </w:p>
    <w:tbl>
      <w:tblPr>
        <w:tblStyle w:val="a5"/>
        <w:tblW w:w="0" w:type="auto"/>
        <w:tblLook w:val="04A0"/>
      </w:tblPr>
      <w:tblGrid>
        <w:gridCol w:w="1526"/>
        <w:gridCol w:w="5077"/>
        <w:gridCol w:w="3302"/>
      </w:tblGrid>
      <w:tr w:rsidR="003C7D4D" w:rsidTr="003C7D4D">
        <w:trPr>
          <w:trHeight w:val="331"/>
        </w:trPr>
        <w:tc>
          <w:tcPr>
            <w:tcW w:w="1526" w:type="dxa"/>
          </w:tcPr>
          <w:p w:rsid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п</w:t>
            </w:r>
            <w:proofErr w:type="spellEnd"/>
          </w:p>
        </w:tc>
        <w:tc>
          <w:tcPr>
            <w:tcW w:w="5077" w:type="dxa"/>
          </w:tcPr>
          <w:p w:rsid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Изучаемый материал</w:t>
            </w:r>
          </w:p>
        </w:tc>
        <w:tc>
          <w:tcPr>
            <w:tcW w:w="3302" w:type="dxa"/>
          </w:tcPr>
          <w:p w:rsid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Количество часов</w:t>
            </w:r>
          </w:p>
        </w:tc>
      </w:tr>
      <w:tr w:rsidR="003C7D4D" w:rsidTr="003C7D4D">
        <w:tc>
          <w:tcPr>
            <w:tcW w:w="1526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1.</w:t>
            </w:r>
          </w:p>
        </w:tc>
        <w:tc>
          <w:tcPr>
            <w:tcW w:w="5077" w:type="dxa"/>
          </w:tcPr>
          <w:p w:rsidR="003C7D4D" w:rsidRPr="003C7D4D" w:rsidRDefault="003C7D4D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Повторение</w:t>
            </w:r>
          </w:p>
        </w:tc>
        <w:tc>
          <w:tcPr>
            <w:tcW w:w="3302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5</w:t>
            </w:r>
          </w:p>
        </w:tc>
      </w:tr>
      <w:tr w:rsidR="003C7D4D" w:rsidTr="003C7D4D">
        <w:tc>
          <w:tcPr>
            <w:tcW w:w="1526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2.</w:t>
            </w:r>
          </w:p>
        </w:tc>
        <w:tc>
          <w:tcPr>
            <w:tcW w:w="5077" w:type="dxa"/>
          </w:tcPr>
          <w:p w:rsidR="003C7D4D" w:rsidRPr="003C7D4D" w:rsidRDefault="003C7D4D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 xml:space="preserve">Рациональные неравенства и их системы </w:t>
            </w:r>
          </w:p>
        </w:tc>
        <w:tc>
          <w:tcPr>
            <w:tcW w:w="3302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16</w:t>
            </w:r>
          </w:p>
        </w:tc>
      </w:tr>
      <w:tr w:rsidR="003C7D4D" w:rsidTr="003C7D4D">
        <w:tc>
          <w:tcPr>
            <w:tcW w:w="1526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Cs/>
                <w:color w:val="00000A"/>
              </w:rPr>
              <w:t>3.</w:t>
            </w:r>
          </w:p>
        </w:tc>
        <w:tc>
          <w:tcPr>
            <w:tcW w:w="5077" w:type="dxa"/>
          </w:tcPr>
          <w:p w:rsidR="003C7D4D" w:rsidRPr="003C7D4D" w:rsidRDefault="003C7D4D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Системы уравнений</w:t>
            </w:r>
          </w:p>
        </w:tc>
        <w:tc>
          <w:tcPr>
            <w:tcW w:w="3302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15</w:t>
            </w:r>
          </w:p>
        </w:tc>
      </w:tr>
      <w:tr w:rsidR="003C7D4D" w:rsidTr="003C7D4D">
        <w:tc>
          <w:tcPr>
            <w:tcW w:w="1526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Cs/>
                <w:color w:val="00000A"/>
              </w:rPr>
              <w:t>4.</w:t>
            </w:r>
          </w:p>
        </w:tc>
        <w:tc>
          <w:tcPr>
            <w:tcW w:w="5077" w:type="dxa"/>
          </w:tcPr>
          <w:p w:rsidR="003C7D4D" w:rsidRPr="003C7D4D" w:rsidRDefault="003C7D4D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Числовые функции</w:t>
            </w:r>
          </w:p>
        </w:tc>
        <w:tc>
          <w:tcPr>
            <w:tcW w:w="3302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23</w:t>
            </w:r>
          </w:p>
        </w:tc>
      </w:tr>
      <w:tr w:rsidR="003C7D4D" w:rsidTr="003C7D4D">
        <w:tc>
          <w:tcPr>
            <w:tcW w:w="1526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Cs/>
                <w:color w:val="00000A"/>
              </w:rPr>
              <w:t>5.</w:t>
            </w:r>
          </w:p>
        </w:tc>
        <w:tc>
          <w:tcPr>
            <w:tcW w:w="5077" w:type="dxa"/>
          </w:tcPr>
          <w:p w:rsidR="003C7D4D" w:rsidRPr="003C7D4D" w:rsidRDefault="003C7D4D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Прогрессии</w:t>
            </w:r>
          </w:p>
        </w:tc>
        <w:tc>
          <w:tcPr>
            <w:tcW w:w="3302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18</w:t>
            </w:r>
          </w:p>
        </w:tc>
      </w:tr>
      <w:tr w:rsidR="003C7D4D" w:rsidTr="003C7D4D">
        <w:tc>
          <w:tcPr>
            <w:tcW w:w="1526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Cs/>
                <w:color w:val="00000A"/>
              </w:rPr>
              <w:t>6.</w:t>
            </w:r>
          </w:p>
        </w:tc>
        <w:tc>
          <w:tcPr>
            <w:tcW w:w="5077" w:type="dxa"/>
          </w:tcPr>
          <w:p w:rsidR="003C7D4D" w:rsidRPr="003C7D4D" w:rsidRDefault="003C7D4D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Элементы комбинаторики, статистики и теории вероятностей</w:t>
            </w:r>
          </w:p>
        </w:tc>
        <w:tc>
          <w:tcPr>
            <w:tcW w:w="3302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13</w:t>
            </w:r>
          </w:p>
        </w:tc>
      </w:tr>
      <w:tr w:rsidR="003C7D4D" w:rsidTr="003C7D4D">
        <w:tc>
          <w:tcPr>
            <w:tcW w:w="1526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>
              <w:rPr>
                <w:rFonts w:ascii="Times New Roman CYR" w:hAnsi="Times New Roman CYR" w:cs="Times New Roman CYR"/>
                <w:bCs/>
                <w:color w:val="00000A"/>
              </w:rPr>
              <w:t>7.</w:t>
            </w:r>
          </w:p>
        </w:tc>
        <w:tc>
          <w:tcPr>
            <w:tcW w:w="5077" w:type="dxa"/>
          </w:tcPr>
          <w:p w:rsidR="003C7D4D" w:rsidRPr="003C7D4D" w:rsidRDefault="003C7D4D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Обобщающее повторение</w:t>
            </w:r>
          </w:p>
        </w:tc>
        <w:tc>
          <w:tcPr>
            <w:tcW w:w="3302" w:type="dxa"/>
          </w:tcPr>
          <w:p w:rsidR="003C7D4D" w:rsidRPr="003C7D4D" w:rsidRDefault="003C7D4D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A"/>
              </w:rPr>
            </w:pPr>
            <w:r w:rsidRPr="003C7D4D">
              <w:rPr>
                <w:rFonts w:ascii="Times New Roman CYR" w:hAnsi="Times New Roman CYR" w:cs="Times New Roman CYR"/>
                <w:bCs/>
                <w:color w:val="00000A"/>
              </w:rPr>
              <w:t>9</w:t>
            </w:r>
          </w:p>
        </w:tc>
      </w:tr>
      <w:tr w:rsidR="00D8078F" w:rsidRPr="00D8078F" w:rsidTr="003C7D4D">
        <w:tc>
          <w:tcPr>
            <w:tcW w:w="1526" w:type="dxa"/>
          </w:tcPr>
          <w:p w:rsidR="00D8078F" w:rsidRPr="00D8078F" w:rsidRDefault="00D8078F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A"/>
              </w:rPr>
            </w:pPr>
            <w:r w:rsidRPr="00D8078F">
              <w:rPr>
                <w:rFonts w:ascii="Times New Roman CYR" w:hAnsi="Times New Roman CYR" w:cs="Times New Roman CYR"/>
                <w:b/>
                <w:bCs/>
                <w:color w:val="00000A"/>
              </w:rPr>
              <w:t>8.</w:t>
            </w:r>
          </w:p>
        </w:tc>
        <w:tc>
          <w:tcPr>
            <w:tcW w:w="5077" w:type="dxa"/>
          </w:tcPr>
          <w:p w:rsidR="00D8078F" w:rsidRPr="00D8078F" w:rsidRDefault="00D8078F" w:rsidP="003C7D4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A"/>
              </w:rPr>
            </w:pPr>
            <w:r w:rsidRPr="00D8078F">
              <w:rPr>
                <w:rFonts w:ascii="Times New Roman CYR" w:hAnsi="Times New Roman CYR" w:cs="Times New Roman CYR"/>
                <w:b/>
                <w:bCs/>
                <w:color w:val="00000A"/>
              </w:rPr>
              <w:t>Итого</w:t>
            </w:r>
          </w:p>
        </w:tc>
        <w:tc>
          <w:tcPr>
            <w:tcW w:w="3302" w:type="dxa"/>
          </w:tcPr>
          <w:p w:rsidR="00D8078F" w:rsidRPr="00D8078F" w:rsidRDefault="00D8078F" w:rsidP="00AC40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A"/>
              </w:rPr>
            </w:pPr>
            <w:r w:rsidRPr="00D8078F">
              <w:rPr>
                <w:rFonts w:ascii="Times New Roman CYR" w:hAnsi="Times New Roman CYR" w:cs="Times New Roman CYR"/>
                <w:b/>
                <w:bCs/>
                <w:color w:val="00000A"/>
              </w:rPr>
              <w:t>99</w:t>
            </w:r>
          </w:p>
        </w:tc>
      </w:tr>
    </w:tbl>
    <w:p w:rsidR="003C7D4D" w:rsidRPr="00D8078F" w:rsidRDefault="003C7D4D" w:rsidP="00AC4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</w:rPr>
      </w:pPr>
    </w:p>
    <w:p w:rsidR="00AC40BA" w:rsidRPr="003C7D4D" w:rsidRDefault="00AC40BA" w:rsidP="00AC40B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AC40BA" w:rsidRDefault="00AC40BA" w:rsidP="00AC40B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4A52CE" w:rsidRDefault="004A52CE"/>
    <w:sectPr w:rsidR="004A52CE" w:rsidSect="005C1C41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D2F62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0BA"/>
    <w:rsid w:val="001B6579"/>
    <w:rsid w:val="003C7D4D"/>
    <w:rsid w:val="004A52CE"/>
    <w:rsid w:val="005C1C41"/>
    <w:rsid w:val="006D4941"/>
    <w:rsid w:val="00AC40BA"/>
    <w:rsid w:val="00BE5D5C"/>
    <w:rsid w:val="00D8078F"/>
    <w:rsid w:val="00ED7815"/>
    <w:rsid w:val="00F5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0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7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Windows User</cp:lastModifiedBy>
  <cp:revision>8</cp:revision>
  <dcterms:created xsi:type="dcterms:W3CDTF">2020-08-30T16:38:00Z</dcterms:created>
  <dcterms:modified xsi:type="dcterms:W3CDTF">2020-09-06T09:46:00Z</dcterms:modified>
</cp:coreProperties>
</file>